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15" w:rsidRDefault="00162D15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10334" w:rsidRPr="000C27D6" w:rsidRDefault="00E10334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162D15" w:rsidRPr="00E10334" w:rsidRDefault="00162D15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  <w:r w:rsidRPr="00E10334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Comunicat de presă privind închiderea galeriei comerciale</w:t>
      </w:r>
      <w:r w:rsidR="00C21763" w:rsidRPr="00E10334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 </w:t>
      </w:r>
      <w:r w:rsidRPr="00E10334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și reconversi</w:t>
      </w:r>
      <w:r w:rsidR="004F6334" w:rsidRPr="00E10334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a acesteia</w:t>
      </w:r>
    </w:p>
    <w:p w:rsidR="004F6334" w:rsidRPr="000C27D6" w:rsidRDefault="004F6334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162D15" w:rsidRPr="000C27D6" w:rsidRDefault="00162D15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Revetas Capital Advisors (“Revetas”)</w:t>
      </w:r>
      <w:r w:rsidR="00AE5F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făcut public anunțul conform căruia Vitantis Shopping Center va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trece printr-o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restructur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substanțial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inclu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siv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 reconversie parțială a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utiliz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rii actuale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Centrul a fost inaugurat în Septembrie 2008 și a reprezentat, la momentul respectiv, cel mai mare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retail din București,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</w:t>
      </w:r>
      <w:r w:rsidR="007E220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peste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36.000 m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²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suprafață închiriabilă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 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fost achiziționat în 2014 de către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Revetas Capital Fund 1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un 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fond de investi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4F63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 imobiliar axat  pe 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Centrul și Estul Europei</w:t>
      </w:r>
      <w:r w:rsidR="00345495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162D15" w:rsidRPr="000C27D6" w:rsidRDefault="00345495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Decizia </w:t>
      </w:r>
      <w:r w:rsidR="000107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materializeaz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 reacție 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schimbările </w:t>
      </w:r>
      <w:r w:rsidR="000107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consistente </w:t>
      </w:r>
      <w:r w:rsidR="00EF61B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survenite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mediul 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micro si macro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retail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 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la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impactul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comerțului on-line asupra comportam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entului de cumpărare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din întreaga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industrie.</w:t>
      </w:r>
    </w:p>
    <w:p w:rsidR="00162D15" w:rsidRPr="000C27D6" w:rsidRDefault="00345495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Radu Boitan, Directorul de Investiții al Revetas, 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menționează faptul că 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abordare inovativă și proactivă este esențială în raport cu viitorul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centrului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46281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căr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poten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ial și valoare pe piață sunt indiscutabile. Proprietatea este localizată într-o 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zonă dens populat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doar 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15 minute de mers cu mașina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centrul ora</w:t>
      </w:r>
      <w:r w:rsidR="0046281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ului, ceea ce ofer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multiple oportunit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de reconversie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Revetas se va concentra pe elaborarea unei strategii 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integrate 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repoziționare a 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proprietății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fapt ce nu exclude 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op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CC347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iunea unei reconversii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:rsidR="00AA7A9E" w:rsidRPr="000C27D6" w:rsidRDefault="00AA7A9E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Revetas 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colaborează îndeaproape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principalii chiriași pentru a 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nchide 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grad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ual galeria comercială în primul </w:t>
      </w:r>
      <w:r w:rsidR="008A68F3" w:rsidRPr="008A68F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trimestru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61B3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din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2018. </w:t>
      </w:r>
      <w:r w:rsidR="000E4D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Galeria comercial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E4D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ancorat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0E4D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punct de vedere comercial de 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existența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hipermarketul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Carrefour, care 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va înceta să funcționeze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</w:t>
      </w:r>
      <w:r w:rsidR="00A844C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cep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A844C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cu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data de 15 ianuarie. </w:t>
      </w:r>
      <w:r w:rsidR="000E4D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Celelalte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unități comerciale (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printre care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Praktiker, Casa Rusu, Diego) vor continua să funcționeze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 și până acum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0E4D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aspect justificat de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performanțele înregistrate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către acestea, dar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cererea mare existentă pe piață pentru bunurile și serviciile oferite</w:t>
      </w:r>
      <w:r w:rsidR="00083B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71628" w:rsidRPr="000C27D6" w:rsidRDefault="00261B39" w:rsidP="00E103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8C77F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Revetas a </w:t>
      </w:r>
      <w:r w:rsidR="008C77F0">
        <w:rPr>
          <w:rFonts w:ascii="Times New Roman" w:hAnsi="Times New Roman" w:cs="Times New Roman"/>
          <w:sz w:val="24"/>
          <w:szCs w:val="24"/>
          <w:lang w:val="ro-RO"/>
        </w:rPr>
        <w:t>explorat un portofoliu extins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oportunități 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privind restructurarea Vitantis, 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 xml:space="preserve">fiind </w:t>
      </w:r>
      <w:r w:rsidR="005D4DF7">
        <w:rPr>
          <w:rFonts w:ascii="Times New Roman" w:hAnsi="Times New Roman" w:cs="Times New Roman"/>
          <w:sz w:val="24"/>
          <w:szCs w:val="24"/>
          <w:lang w:val="ro-RO"/>
        </w:rPr>
        <w:t>dedica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>t ideii de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augmentare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potențialul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 xml:space="preserve"> acestuia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re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>modelarea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>integral</w:t>
      </w:r>
      <w:r w:rsidR="006B739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și repoziționarea pe piață 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>fiind singurele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soluții viabile, capabile </w:t>
      </w:r>
      <w:r w:rsidR="00D26C6B">
        <w:rPr>
          <w:rFonts w:ascii="Times New Roman" w:hAnsi="Times New Roman" w:cs="Times New Roman"/>
          <w:sz w:val="24"/>
          <w:szCs w:val="24"/>
          <w:lang w:val="ro-RO"/>
        </w:rPr>
        <w:t>sa ofere</w:t>
      </w:r>
      <w:r w:rsidR="00083BB6" w:rsidRPr="008C77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7A9E" w:rsidRPr="008C77F0">
        <w:rPr>
          <w:rFonts w:ascii="Times New Roman" w:hAnsi="Times New Roman" w:cs="Times New Roman"/>
          <w:sz w:val="24"/>
          <w:szCs w:val="24"/>
          <w:lang w:val="ro-RO"/>
        </w:rPr>
        <w:t>o valoare sustenabilă pe termen lung</w:t>
      </w:r>
      <w:r w:rsidRPr="008C77F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A2498" w:rsidRPr="008C77F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A7A9E" w:rsidRPr="00083BB6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</w:t>
      </w:r>
      <w:r w:rsidR="00AA7A9E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explicat Vlad Dra</w:t>
      </w:r>
      <w:r w:rsidR="0097162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goescu, </w:t>
      </w:r>
      <w:r w:rsidR="003170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dministratorul societ</w:t>
      </w:r>
      <w:r w:rsidR="0046281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r w:rsidR="0097162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Vitantis SRL. </w:t>
      </w:r>
    </w:p>
    <w:p w:rsidR="00E10334" w:rsidRDefault="00E10334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10334" w:rsidRDefault="00E10334" w:rsidP="00E1033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10334" w:rsidRPr="00E10334" w:rsidRDefault="00971628" w:rsidP="00E103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1033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Despre </w:t>
      </w:r>
      <w:proofErr w:type="spellStart"/>
      <w:r w:rsidRPr="00E1033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Revetas</w:t>
      </w:r>
      <w:proofErr w:type="spellEnd"/>
      <w:r w:rsidRPr="00E1033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Capital LLP</w:t>
      </w:r>
    </w:p>
    <w:p w:rsidR="00162D15" w:rsidRDefault="00971628" w:rsidP="00E103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Revetas 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este 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 entitate specializată în adm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nistrarea 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fondurilor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investiții </w:t>
      </w:r>
      <w:r w:rsidR="003170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EA2498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domeniul imobiliar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axat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momentan pe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Centrul și Estul Europei, având sedii 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Londra și Viena și 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fiind o 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prezență constantă în majoritatea 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ărilor din CEE. Firma administrează și investește capital în numele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pentru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</w:t>
      </w:r>
      <w:r w:rsidR="00D26C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portofolio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global de investitori privați și instituționali. Membrii echipei Revetas au o experiență solidă și rezultate remarcabile în administrarea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diverselor active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în spiritul maximizării valori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acestora. Revetas a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integrat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 model de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afacere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unic, colaborând împreună cu bănci de talie internațională</w:t>
      </w:r>
      <w:r w:rsidR="0046281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scopul de a restructura și a repoziționa unele dintre cele mai 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calitative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propriet</w:t>
      </w:r>
      <w:r w:rsidR="006B739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ăți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birouri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retail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</w:t>
      </w:r>
      <w:r w:rsidR="005B04A9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turism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117D2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CEE</w:t>
      </w:r>
      <w:r w:rsidR="00C21763" w:rsidRPr="000C27D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:rsidR="00E10334" w:rsidRDefault="00E10334" w:rsidP="00E103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10334" w:rsidRDefault="00E10334" w:rsidP="00E1033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E10334" w:rsidRDefault="00E10334" w:rsidP="00E103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E10334" w:rsidRPr="00E10334" w:rsidRDefault="00E10334" w:rsidP="00E103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0334" w:rsidRPr="00E10334" w:rsidTr="00E10334">
        <w:trPr>
          <w:trHeight w:val="485"/>
        </w:trPr>
        <w:tc>
          <w:tcPr>
            <w:tcW w:w="4675" w:type="dxa"/>
          </w:tcPr>
          <w:p w:rsidR="00E10334" w:rsidRPr="00E10334" w:rsidRDefault="00E10334" w:rsidP="00E10334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E10334" w:rsidRPr="00E10334" w:rsidRDefault="00E10334" w:rsidP="00E10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10334" w:rsidRPr="00E10334" w:rsidTr="00E10334">
        <w:tc>
          <w:tcPr>
            <w:tcW w:w="4675" w:type="dxa"/>
          </w:tcPr>
          <w:p w:rsidR="00E10334" w:rsidRPr="00E10334" w:rsidRDefault="00E10334" w:rsidP="00E1033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E10334" w:rsidRPr="00E10334" w:rsidRDefault="00E10334" w:rsidP="00E10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E10334" w:rsidRPr="000C27D6" w:rsidRDefault="00E10334" w:rsidP="00E103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162D15" w:rsidRPr="000C27D6" w:rsidRDefault="00162D15" w:rsidP="00E103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04708" w:rsidRDefault="00D04708" w:rsidP="00E103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E10334" w:rsidRPr="000C27D6" w:rsidRDefault="00E10334" w:rsidP="00E103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ab/>
      </w:r>
    </w:p>
    <w:sectPr w:rsidR="00E10334" w:rsidRPr="000C27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27" w:rsidRDefault="007F1327" w:rsidP="00E10334">
      <w:pPr>
        <w:spacing w:after="0" w:line="240" w:lineRule="auto"/>
      </w:pPr>
      <w:r>
        <w:separator/>
      </w:r>
    </w:p>
  </w:endnote>
  <w:endnote w:type="continuationSeparator" w:id="0">
    <w:p w:rsidR="007F1327" w:rsidRDefault="007F1327" w:rsidP="00E1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34" w:rsidRDefault="00E10334" w:rsidP="00E10334">
    <w:pPr>
      <w:pStyle w:val="Subsol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27" w:rsidRDefault="007F1327" w:rsidP="00E10334">
      <w:pPr>
        <w:spacing w:after="0" w:line="240" w:lineRule="auto"/>
      </w:pPr>
      <w:r>
        <w:separator/>
      </w:r>
    </w:p>
  </w:footnote>
  <w:footnote w:type="continuationSeparator" w:id="0">
    <w:p w:rsidR="007F1327" w:rsidRDefault="007F1327" w:rsidP="00E1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34" w:rsidRPr="00BA7792" w:rsidRDefault="00E10334" w:rsidP="00E10334">
    <w:pPr>
      <w:pStyle w:val="Titlu"/>
      <w:spacing w:line="360" w:lineRule="auto"/>
      <w:jc w:val="left"/>
      <w:rPr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AB32F9B" wp14:editId="07362C06">
          <wp:simplePos x="0" y="0"/>
          <wp:positionH relativeFrom="column">
            <wp:posOffset>-133985</wp:posOffset>
          </wp:positionH>
          <wp:positionV relativeFrom="paragraph">
            <wp:posOffset>-46355</wp:posOffset>
          </wp:positionV>
          <wp:extent cx="1056640" cy="1045210"/>
          <wp:effectExtent l="0" t="0" r="0" b="2540"/>
          <wp:wrapTight wrapText="bothSides">
            <wp:wrapPolygon edited="0">
              <wp:start x="0" y="0"/>
              <wp:lineTo x="0" y="21259"/>
              <wp:lineTo x="21029" y="21259"/>
              <wp:lineTo x="21029" y="0"/>
              <wp:lineTo x="0" y="0"/>
            </wp:wrapPolygon>
          </wp:wrapTight>
          <wp:docPr id="2" name="Picture 2" descr="vitan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tanti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8"/>
        <w:szCs w:val="18"/>
      </w:rPr>
      <w:t>S</w:t>
    </w:r>
    <w:r w:rsidRPr="00BA7792">
      <w:rPr>
        <w:b/>
        <w:sz w:val="18"/>
        <w:szCs w:val="18"/>
      </w:rPr>
      <w:t>C VITANTIS SRL</w:t>
    </w:r>
  </w:p>
  <w:p w:rsidR="00E10334" w:rsidRPr="00BA7792" w:rsidRDefault="00E10334" w:rsidP="00E10334">
    <w:pPr>
      <w:pStyle w:val="Titlu"/>
      <w:spacing w:line="360" w:lineRule="auto"/>
      <w:jc w:val="left"/>
      <w:rPr>
        <w:b/>
        <w:sz w:val="18"/>
        <w:szCs w:val="18"/>
      </w:rPr>
    </w:pPr>
    <w:r w:rsidRPr="00BA7792">
      <w:rPr>
        <w:b/>
        <w:sz w:val="18"/>
        <w:szCs w:val="18"/>
      </w:rPr>
      <w:t>CUI: RO16417730</w:t>
    </w:r>
  </w:p>
  <w:p w:rsidR="00E10334" w:rsidRPr="00BA7792" w:rsidRDefault="00E10334" w:rsidP="00E10334">
    <w:pPr>
      <w:pStyle w:val="Titlu"/>
      <w:spacing w:line="360" w:lineRule="auto"/>
      <w:jc w:val="left"/>
      <w:rPr>
        <w:b/>
        <w:sz w:val="18"/>
        <w:szCs w:val="18"/>
      </w:rPr>
    </w:pPr>
    <w:r w:rsidRPr="00BA7792">
      <w:rPr>
        <w:b/>
        <w:sz w:val="18"/>
        <w:szCs w:val="18"/>
      </w:rPr>
      <w:t>Reg. Com: J40/7747/2004</w:t>
    </w:r>
  </w:p>
  <w:p w:rsidR="00E10334" w:rsidRPr="00BA7792" w:rsidRDefault="00E10334" w:rsidP="00E10334">
    <w:pPr>
      <w:spacing w:line="360" w:lineRule="auto"/>
      <w:rPr>
        <w:b/>
        <w:sz w:val="18"/>
        <w:szCs w:val="18"/>
      </w:rPr>
    </w:pPr>
    <w:proofErr w:type="spellStart"/>
    <w:r>
      <w:rPr>
        <w:b/>
        <w:sz w:val="18"/>
        <w:szCs w:val="18"/>
      </w:rPr>
      <w:t>Sos</w:t>
    </w:r>
    <w:proofErr w:type="spellEnd"/>
    <w:r w:rsidRPr="00BA7792">
      <w:rPr>
        <w:b/>
        <w:sz w:val="18"/>
        <w:szCs w:val="18"/>
      </w:rPr>
      <w:t xml:space="preserve">. </w:t>
    </w:r>
    <w:proofErr w:type="spellStart"/>
    <w:r>
      <w:rPr>
        <w:b/>
        <w:sz w:val="18"/>
        <w:szCs w:val="18"/>
      </w:rPr>
      <w:t>Vitan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Barzesti</w:t>
    </w:r>
    <w:proofErr w:type="spellEnd"/>
    <w:r>
      <w:rPr>
        <w:b/>
        <w:sz w:val="18"/>
        <w:szCs w:val="18"/>
      </w:rPr>
      <w:t xml:space="preserve">, </w:t>
    </w:r>
    <w:proofErr w:type="spellStart"/>
    <w:r>
      <w:rPr>
        <w:b/>
        <w:sz w:val="18"/>
        <w:szCs w:val="18"/>
      </w:rPr>
      <w:t>Nr</w:t>
    </w:r>
    <w:proofErr w:type="spellEnd"/>
    <w:r>
      <w:rPr>
        <w:b/>
        <w:sz w:val="18"/>
        <w:szCs w:val="18"/>
      </w:rPr>
      <w:t>. 7A</w:t>
    </w:r>
    <w:r w:rsidRPr="00BA7792">
      <w:rPr>
        <w:b/>
        <w:sz w:val="18"/>
        <w:szCs w:val="18"/>
      </w:rPr>
      <w:t xml:space="preserve">, </w:t>
    </w:r>
    <w:proofErr w:type="spellStart"/>
    <w:r>
      <w:rPr>
        <w:b/>
        <w:sz w:val="18"/>
        <w:szCs w:val="18"/>
      </w:rPr>
      <w:t>Galeria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Comerciala</w:t>
    </w:r>
    <w:proofErr w:type="spellEnd"/>
    <w:r>
      <w:rPr>
        <w:b/>
        <w:sz w:val="18"/>
        <w:szCs w:val="18"/>
      </w:rPr>
      <w:t xml:space="preserve"> (C3), </w:t>
    </w:r>
    <w:proofErr w:type="spellStart"/>
    <w:r>
      <w:rPr>
        <w:b/>
        <w:sz w:val="18"/>
        <w:szCs w:val="18"/>
      </w:rPr>
      <w:t>Spatiul</w:t>
    </w:r>
    <w:proofErr w:type="spellEnd"/>
    <w:r>
      <w:rPr>
        <w:b/>
        <w:sz w:val="18"/>
        <w:szCs w:val="18"/>
      </w:rPr>
      <w:t xml:space="preserve"> Sa10e</w:t>
    </w:r>
    <w:r w:rsidRPr="00BA7792">
      <w:rPr>
        <w:b/>
        <w:sz w:val="18"/>
        <w:szCs w:val="18"/>
      </w:rPr>
      <w:t>,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Etajul</w:t>
    </w:r>
    <w:proofErr w:type="spellEnd"/>
    <w:r>
      <w:rPr>
        <w:b/>
        <w:sz w:val="18"/>
        <w:szCs w:val="18"/>
      </w:rPr>
      <w:t xml:space="preserve"> 1, Sector 4</w:t>
    </w:r>
    <w:r w:rsidRPr="00BA7792">
      <w:rPr>
        <w:b/>
        <w:sz w:val="18"/>
        <w:szCs w:val="18"/>
      </w:rPr>
      <w:t xml:space="preserve">, </w:t>
    </w:r>
    <w:proofErr w:type="spellStart"/>
    <w:r w:rsidRPr="00BA7792">
      <w:rPr>
        <w:b/>
        <w:sz w:val="18"/>
        <w:szCs w:val="18"/>
      </w:rPr>
      <w:t>Bucuresti</w:t>
    </w:r>
    <w:proofErr w:type="spellEnd"/>
  </w:p>
  <w:p w:rsidR="00E10334" w:rsidRDefault="00E10334" w:rsidP="00E10334">
    <w:pPr>
      <w:pStyle w:val="Ante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15"/>
    <w:rsid w:val="0001070B"/>
    <w:rsid w:val="00083BB6"/>
    <w:rsid w:val="000C27D6"/>
    <w:rsid w:val="000E4DE1"/>
    <w:rsid w:val="00117D2B"/>
    <w:rsid w:val="00162D15"/>
    <w:rsid w:val="001B72A6"/>
    <w:rsid w:val="00257C2E"/>
    <w:rsid w:val="00261B39"/>
    <w:rsid w:val="00311CE2"/>
    <w:rsid w:val="00317054"/>
    <w:rsid w:val="00345495"/>
    <w:rsid w:val="003F4666"/>
    <w:rsid w:val="00462818"/>
    <w:rsid w:val="004F6334"/>
    <w:rsid w:val="005216B1"/>
    <w:rsid w:val="005B04A9"/>
    <w:rsid w:val="005D4DF7"/>
    <w:rsid w:val="006B739D"/>
    <w:rsid w:val="00700567"/>
    <w:rsid w:val="007E2202"/>
    <w:rsid w:val="007F1327"/>
    <w:rsid w:val="008A68F3"/>
    <w:rsid w:val="008C77F0"/>
    <w:rsid w:val="00971628"/>
    <w:rsid w:val="00992F2C"/>
    <w:rsid w:val="00A844C8"/>
    <w:rsid w:val="00AA7A9E"/>
    <w:rsid w:val="00AE5F98"/>
    <w:rsid w:val="00C21763"/>
    <w:rsid w:val="00CC3479"/>
    <w:rsid w:val="00D04708"/>
    <w:rsid w:val="00D26C6B"/>
    <w:rsid w:val="00E10334"/>
    <w:rsid w:val="00EA2498"/>
    <w:rsid w:val="00EF61B3"/>
    <w:rsid w:val="00F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F23D-0646-49E1-8514-639E817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D1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0334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1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0334"/>
    <w:rPr>
      <w:lang w:val="en-US"/>
    </w:rPr>
  </w:style>
  <w:style w:type="table" w:styleId="Tabelgril">
    <w:name w:val="Table Grid"/>
    <w:basedOn w:val="TabelNormal"/>
    <w:uiPriority w:val="59"/>
    <w:rsid w:val="00E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E10334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TitluCaracter">
    <w:name w:val="Titlu Caracter"/>
    <w:basedOn w:val="Fontdeparagrafimplicit"/>
    <w:link w:val="Titlu"/>
    <w:rsid w:val="00E10334"/>
    <w:rPr>
      <w:rFonts w:ascii="Times New Roman" w:eastAsia="Times New Roman" w:hAnsi="Times New Roman" w:cs="Times New Roman"/>
      <w:sz w:val="3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1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03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Dragoescu</dc:creator>
  <cp:keywords/>
  <dc:description/>
  <cp:lastModifiedBy>Lavinia Chirica</cp:lastModifiedBy>
  <cp:revision>6</cp:revision>
  <cp:lastPrinted>2018-01-09T13:36:00Z</cp:lastPrinted>
  <dcterms:created xsi:type="dcterms:W3CDTF">2018-01-08T06:35:00Z</dcterms:created>
  <dcterms:modified xsi:type="dcterms:W3CDTF">2018-01-09T14:00:00Z</dcterms:modified>
</cp:coreProperties>
</file>